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0" w:rsidRDefault="007D2523" w:rsidP="00A8664B">
      <w:pPr>
        <w:spacing w:after="540" w:line="233" w:lineRule="auto"/>
        <w:ind w:left="6237" w:firstLine="0"/>
        <w:jc w:val="left"/>
        <w:rPr>
          <w:sz w:val="16"/>
        </w:rPr>
      </w:pPr>
      <w:r>
        <w:rPr>
          <w:sz w:val="16"/>
        </w:rPr>
        <w:t>Załącznik do rozporządzenia Ministra Sprawiedliwości z dnia 27 maja 2014 r. (poz. 739)</w:t>
      </w:r>
    </w:p>
    <w:p w:rsidR="008E31C5" w:rsidRDefault="008E31C5" w:rsidP="001B24D4">
      <w:pPr>
        <w:spacing w:after="120" w:line="233" w:lineRule="auto"/>
        <w:ind w:left="6361" w:hanging="11"/>
        <w:jc w:val="center"/>
      </w:pPr>
    </w:p>
    <w:p w:rsidR="00E02DA0" w:rsidRDefault="007D2523" w:rsidP="001B24D4">
      <w:pPr>
        <w:spacing w:after="216"/>
        <w:ind w:left="177" w:firstLine="0"/>
        <w:jc w:val="center"/>
      </w:pPr>
      <w:r>
        <w:t>POUCZENIE O UPRAWNIENIACH I OBOWIĄZKACH POKRZYWDZONEGO</w:t>
      </w:r>
      <w:r w:rsidR="001B24D4">
        <w:br/>
      </w:r>
      <w:r>
        <w:t xml:space="preserve"> W POSTĘPOWANIU KARNYM</w:t>
      </w:r>
    </w:p>
    <w:p w:rsidR="00E02DA0" w:rsidRDefault="007D2523">
      <w:pPr>
        <w:spacing w:after="217"/>
        <w:ind w:left="-14" w:firstLine="320"/>
      </w:pPr>
      <w:r>
        <w:t>Osoba fizyczna lub prawna, której dobro zostało bezpośrednio naruszone lub zagrożone przez przestępstwo, jest pokrzywdzonym w postępowaniu karnym (art. 49 § 1)</w:t>
      </w:r>
      <w:r>
        <w:rPr>
          <w:vertAlign w:val="superscript"/>
        </w:rPr>
        <w:footnoteReference w:id="2"/>
      </w:r>
      <w:r>
        <w:rPr>
          <w:vertAlign w:val="superscript"/>
        </w:rPr>
        <w:t>)</w:t>
      </w:r>
      <w:r>
        <w:t>. Przedstawiciel lub opiekun pokrzywdzonego małoletniego, całkowicie albo częściowo ubezwłasnowolnionego lub nieporadnego może wykonywać jego prawa (art. 51). Osoba najbliższa może również wykonywać prawa zmarłego pokrzywdzonego (art. 52).</w:t>
      </w:r>
    </w:p>
    <w:p w:rsidR="00E02DA0" w:rsidRDefault="007D2523">
      <w:pPr>
        <w:spacing w:after="185"/>
        <w:ind w:left="-14" w:firstLine="320"/>
      </w:pPr>
      <w:r>
        <w:t>W postępowaniu przygotowawczym poprzedzającym wniesienie sprawy do sądu pokrzywdzony jest stroną procesową (art. 299 § 1). Oznacza to, że w tym postępowaniu pokrzywdzonemu przysługują wymienione poniżej uprawnienia:</w:t>
      </w:r>
    </w:p>
    <w:p w:rsidR="00E02DA0" w:rsidRDefault="007D2523">
      <w:pPr>
        <w:numPr>
          <w:ilvl w:val="0"/>
          <w:numId w:val="1"/>
        </w:numPr>
        <w:spacing w:after="167" w:line="251" w:lineRule="auto"/>
        <w:ind w:hanging="454"/>
      </w:pPr>
      <w:r>
        <w:t>Prawo do korzystania z pomocy wybranego przez siebie pełnomocnika, którym może być adwokat lub radca prawny. Nie można mieć więcej niż trzech pełnomocników jednocześnie. Jeżeli pokrzywdzony wykaże, że nie stać go na pełnomocnika, sąd może wyznaczyć pełnomocnika z urzędu (art. 78 § 1, art. 87 § 1 i 2, art. 88).</w:t>
      </w:r>
    </w:p>
    <w:p w:rsidR="00E02DA0" w:rsidRDefault="007D2523">
      <w:pPr>
        <w:numPr>
          <w:ilvl w:val="0"/>
          <w:numId w:val="1"/>
        </w:numPr>
        <w:ind w:hanging="454"/>
      </w:pPr>
      <w:r>
        <w:t xml:space="preserve">Prawo do złożenia zażalenia na postanowienie o odmowie wszczęcia lub umorzeniu śledztwa lub dochodzenia oraz zażalenia na bezczynność, jeżeli w ciągu 6 tygodni od złożenia przez pokrzywdzonego zawiadomienia </w:t>
      </w:r>
      <w:r w:rsidR="001B24D4">
        <w:br/>
      </w:r>
      <w:r>
        <w:t xml:space="preserve">o przestępstwie nie został on powiadomiony o wszczęciu albo odmowie wszczęcia śledztwa lub dochodzenia </w:t>
      </w:r>
      <w:r w:rsidR="001B24D4">
        <w:br/>
      </w:r>
      <w:r>
        <w:t>(art. 306 § 1, 1a, 3).</w:t>
      </w:r>
    </w:p>
    <w:p w:rsidR="00E02DA0" w:rsidRDefault="007D2523">
      <w:pPr>
        <w:numPr>
          <w:ilvl w:val="0"/>
          <w:numId w:val="1"/>
        </w:numPr>
        <w:ind w:hanging="454"/>
      </w:pPr>
      <w:r>
        <w:t>Prawo do składania wniosków o przeprowadzenie przez Policję lub prokuratora określonej czynności lub dowodu, np. przesłuchania wskazanego świadka lub zbadania dokumentu (art. 315 § 1). Jeżeli istnieje obawa, że świadka nie będzie można przesłuchać na rozprawie, pokrzywdzony może wystąpić o jego przesłuchanie przez sąd lub zwrócić się do prokuratora o przesłuchanie świadka w tym trybie (art. 316 § 3).</w:t>
      </w:r>
    </w:p>
    <w:p w:rsidR="00E02DA0" w:rsidRDefault="007D2523">
      <w:pPr>
        <w:numPr>
          <w:ilvl w:val="0"/>
          <w:numId w:val="1"/>
        </w:numPr>
        <w:ind w:hanging="454"/>
      </w:pPr>
      <w:r>
        <w:t xml:space="preserve">Prawo do udziału w czynnościach postępowania, w tym także w przeprowadzeniu dowodu. W czynnościach tych może również uczestniczyć pełnomocnik pokrzywdzonego (art. 316). W szczególnie uzasadnionym wypadku można odmówić dopuszczenia pokrzywdzonego i pełnomocnika do czynności ze względu na dobro postępowania </w:t>
      </w:r>
      <w:r w:rsidR="001B24D4">
        <w:br/>
      </w:r>
      <w:r>
        <w:t>(art. 317 § 2).</w:t>
      </w:r>
    </w:p>
    <w:p w:rsidR="00E02DA0" w:rsidRDefault="007D2523">
      <w:pPr>
        <w:numPr>
          <w:ilvl w:val="0"/>
          <w:numId w:val="1"/>
        </w:numPr>
        <w:ind w:hanging="454"/>
      </w:pPr>
      <w:r>
        <w:t xml:space="preserve">Prawo do doręczenia postanowienia o dopuszczeniu dowodu z opinii biegłego, prawo do wzięcia udziału </w:t>
      </w:r>
      <w:r w:rsidR="00A8664B">
        <w:br/>
      </w:r>
      <w:r>
        <w:t>w przesłuchaniu biegłego oraz prawo do zapoznania się z jego pisemną opinią (art. 318).</w:t>
      </w:r>
    </w:p>
    <w:p w:rsidR="00E02DA0" w:rsidRDefault="007D2523">
      <w:pPr>
        <w:numPr>
          <w:ilvl w:val="0"/>
          <w:numId w:val="1"/>
        </w:numPr>
        <w:ind w:hanging="454"/>
      </w:pPr>
      <w:r>
        <w:t>Prawo dostępu do akt sprawy, do sporządzania odpisów i kopii. Można odmówić dostępu do akt ze względu na ważny interes państwa lub dobro postępowania (art. 156 § 5).</w:t>
      </w:r>
    </w:p>
    <w:p w:rsidR="00E02DA0" w:rsidRDefault="007D2523">
      <w:pPr>
        <w:numPr>
          <w:ilvl w:val="0"/>
          <w:numId w:val="1"/>
        </w:numPr>
        <w:spacing w:after="217"/>
        <w:ind w:hanging="454"/>
      </w:pPr>
      <w:r>
        <w:t xml:space="preserve">Prawo do złożenia wniosku o skierowanie sprawy do postępowania mediacyjnego w celu pogodzenia się </w:t>
      </w:r>
      <w:r w:rsidR="00A8664B">
        <w:br/>
      </w:r>
      <w:r>
        <w:t>z podejrzanym (art. 23a). Pozytywne wyniki przeprowadzonej mediacji są brane pod uwagę przez sąd przy wymiarze kary (art. 53 § 3 ustawy z dnia 6 czerwca 1997 r. – Kodeks karny (Dz. U. Nr 88, poz. 553, z późn. zm.)).</w:t>
      </w:r>
    </w:p>
    <w:p w:rsidR="00E02DA0" w:rsidRDefault="007D2523">
      <w:pPr>
        <w:ind w:left="320" w:firstLine="0"/>
      </w:pPr>
      <w:r>
        <w:t>Pokrzywdzony jest obowiązany:</w:t>
      </w:r>
    </w:p>
    <w:p w:rsidR="00E02DA0" w:rsidRDefault="007D2523">
      <w:pPr>
        <w:numPr>
          <w:ilvl w:val="1"/>
          <w:numId w:val="1"/>
        </w:numPr>
        <w:ind w:hanging="380"/>
      </w:pPr>
      <w:r>
        <w:t>wskazać adres dla doręczeń w kraju, kiedy przebywa za granicą; w przeciwnym wypadku pismo wysłane na ostatnio znany adres w kraju zostanie uznane za skutecznie doręczone, a czynność lub rozprawa zostanie przeprowadzona pod nieobecność pokrzywdzonego; niewskazanie adresu może również uniemożliwić złożenie wniosku, zażalenia lub apelacji z powodu upływu terminów (art. 138);</w:t>
      </w:r>
    </w:p>
    <w:p w:rsidR="00E02DA0" w:rsidRDefault="007D2523">
      <w:pPr>
        <w:numPr>
          <w:ilvl w:val="1"/>
          <w:numId w:val="1"/>
        </w:numPr>
        <w:spacing w:after="495"/>
        <w:ind w:hanging="380"/>
      </w:pPr>
      <w:r>
        <w:t>podać nowy</w:t>
      </w:r>
      <w:r w:rsidR="00A8664B">
        <w:t xml:space="preserve"> adres </w:t>
      </w:r>
      <w:r>
        <w:t>w wypadku zmiany miejsca zamieszkania lub pobytu; w przeciwnym wypadku pismo wysłane na dotychczasowy adres zostanie uznane za skutecznie doręczone, a czynność lub rozprawa zostanie przeprowadzona pod nieobecność pokrzywdzonego; niewskazanie adresu może również uniemożliwić złożenie wniosku, zażalenia lub apelacji z powodu upływu terminów (art. 139).</w:t>
      </w:r>
    </w:p>
    <w:p w:rsidR="00E02DA0" w:rsidRDefault="007D2523">
      <w:pPr>
        <w:tabs>
          <w:tab w:val="right" w:pos="9871"/>
        </w:tabs>
        <w:spacing w:after="259"/>
        <w:ind w:left="-14" w:firstLine="0"/>
        <w:jc w:val="left"/>
      </w:pPr>
      <w:r>
        <w:t xml:space="preserve"> </w:t>
      </w:r>
      <w:r>
        <w:tab/>
        <w:t>Potwierdzam otrzymanie pouczenia:</w:t>
      </w:r>
    </w:p>
    <w:p w:rsidR="00E02DA0" w:rsidRDefault="007D2523">
      <w:pPr>
        <w:tabs>
          <w:tab w:val="right" w:pos="9871"/>
        </w:tabs>
        <w:spacing w:after="0" w:line="259" w:lineRule="auto"/>
        <w:ind w:left="0" w:firstLine="0"/>
        <w:jc w:val="left"/>
      </w:pPr>
      <w:r>
        <w:t xml:space="preserve"> </w:t>
      </w:r>
      <w:r>
        <w:tab/>
        <w:t>.............................................................</w:t>
      </w:r>
    </w:p>
    <w:p w:rsidR="00E02DA0" w:rsidRDefault="007D2523">
      <w:pPr>
        <w:tabs>
          <w:tab w:val="center" w:pos="8320"/>
        </w:tabs>
        <w:spacing w:after="540" w:line="233" w:lineRule="auto"/>
        <w:ind w:left="-15" w:firstLine="0"/>
        <w:jc w:val="left"/>
      </w:pPr>
      <w:r>
        <w:rPr>
          <w:sz w:val="16"/>
        </w:rPr>
        <w:t xml:space="preserve"> </w:t>
      </w:r>
      <w:r>
        <w:rPr>
          <w:sz w:val="16"/>
        </w:rPr>
        <w:tab/>
        <w:t>(data, podpis)</w:t>
      </w:r>
    </w:p>
    <w:sectPr w:rsidR="00E02DA0" w:rsidSect="009B1028">
      <w:footnotePr>
        <w:numRestart w:val="eachPage"/>
      </w:footnotePr>
      <w:pgSz w:w="11906" w:h="16838"/>
      <w:pgMar w:top="633" w:right="1014" w:bottom="953"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1D8" w:rsidRDefault="001A21D8">
      <w:pPr>
        <w:spacing w:after="0" w:line="240" w:lineRule="auto"/>
      </w:pPr>
      <w:r>
        <w:separator/>
      </w:r>
    </w:p>
  </w:endnote>
  <w:endnote w:type="continuationSeparator" w:id="1">
    <w:p w:rsidR="001A21D8" w:rsidRDefault="001A2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1D8" w:rsidRDefault="001A21D8">
      <w:pPr>
        <w:spacing w:after="0" w:line="265" w:lineRule="auto"/>
        <w:ind w:left="340" w:hanging="340"/>
      </w:pPr>
      <w:r>
        <w:separator/>
      </w:r>
    </w:p>
  </w:footnote>
  <w:footnote w:type="continuationSeparator" w:id="1">
    <w:p w:rsidR="001A21D8" w:rsidRDefault="001A21D8">
      <w:pPr>
        <w:spacing w:after="0" w:line="265" w:lineRule="auto"/>
        <w:ind w:left="340" w:hanging="340"/>
      </w:pPr>
      <w:r>
        <w:continuationSeparator/>
      </w:r>
    </w:p>
  </w:footnote>
  <w:footnote w:id="2">
    <w:p w:rsidR="00E02DA0" w:rsidRDefault="007D2523" w:rsidP="00DA01A1">
      <w:pPr>
        <w:pStyle w:val="footnotedescription"/>
        <w:spacing w:line="265" w:lineRule="auto"/>
        <w:ind w:left="142" w:right="0" w:hanging="142"/>
      </w:pPr>
      <w:r>
        <w:rPr>
          <w:rStyle w:val="footnotemark"/>
        </w:rPr>
        <w:footnoteRef/>
      </w:r>
      <w:r>
        <w:rPr>
          <w:vertAlign w:val="superscript"/>
        </w:rPr>
        <w:t>)</w:t>
      </w:r>
      <w:r>
        <w:t xml:space="preserve"> Jeżeli nie wskazano innej podstawy prawnej, przepisy w nawiasach oznaczają odpowiednie artykuły ustawy z dnia 6 czerwca 1997 r. </w:t>
      </w:r>
      <w:r w:rsidR="000343D4">
        <w:br/>
      </w:r>
      <w:bookmarkStart w:id="0" w:name="_GoBack"/>
      <w:bookmarkEnd w:id="0"/>
      <w:r>
        <w:t>– Kodeks postępowania karnego (Dz. U. Nr 89, poz. 555,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311A"/>
    <w:multiLevelType w:val="hybridMultilevel"/>
    <w:tmpl w:val="BD666A4E"/>
    <w:lvl w:ilvl="0" w:tplc="8C38A110">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35E9A34">
      <w:start w:val="1"/>
      <w:numFmt w:val="decimal"/>
      <w:lvlText w:val="%2)"/>
      <w:lvlJc w:val="left"/>
      <w:pPr>
        <w:ind w:left="7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344F5BC">
      <w:start w:val="1"/>
      <w:numFmt w:val="lowerRoman"/>
      <w:lvlText w:val="%3"/>
      <w:lvlJc w:val="left"/>
      <w:pPr>
        <w:ind w:left="14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0443278">
      <w:start w:val="1"/>
      <w:numFmt w:val="decimal"/>
      <w:lvlText w:val="%4"/>
      <w:lvlJc w:val="left"/>
      <w:pPr>
        <w:ind w:left="21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D98D150">
      <w:start w:val="1"/>
      <w:numFmt w:val="lowerLetter"/>
      <w:lvlText w:val="%5"/>
      <w:lvlJc w:val="left"/>
      <w:pPr>
        <w:ind w:left="28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F38116A">
      <w:start w:val="1"/>
      <w:numFmt w:val="lowerRoman"/>
      <w:lvlText w:val="%6"/>
      <w:lvlJc w:val="left"/>
      <w:pPr>
        <w:ind w:left="35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557E50F2">
      <w:start w:val="1"/>
      <w:numFmt w:val="decimal"/>
      <w:lvlText w:val="%7"/>
      <w:lvlJc w:val="left"/>
      <w:pPr>
        <w:ind w:left="43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4C62D04">
      <w:start w:val="1"/>
      <w:numFmt w:val="lowerLetter"/>
      <w:lvlText w:val="%8"/>
      <w:lvlJc w:val="left"/>
      <w:pPr>
        <w:ind w:left="50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F761996">
      <w:start w:val="1"/>
      <w:numFmt w:val="lowerRoman"/>
      <w:lvlText w:val="%9"/>
      <w:lvlJc w:val="left"/>
      <w:pPr>
        <w:ind w:left="57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useFELayout/>
  </w:compat>
  <w:rsids>
    <w:rsidRoot w:val="00E02DA0"/>
    <w:rsid w:val="000343D4"/>
    <w:rsid w:val="001A21D8"/>
    <w:rsid w:val="001B24D4"/>
    <w:rsid w:val="002970F9"/>
    <w:rsid w:val="00570738"/>
    <w:rsid w:val="005D47B0"/>
    <w:rsid w:val="007D2523"/>
    <w:rsid w:val="00861FB1"/>
    <w:rsid w:val="008E31C5"/>
    <w:rsid w:val="008F276A"/>
    <w:rsid w:val="009B1028"/>
    <w:rsid w:val="00A8664B"/>
    <w:rsid w:val="00AE1C7A"/>
    <w:rsid w:val="00AF62F2"/>
    <w:rsid w:val="00B0479D"/>
    <w:rsid w:val="00B66B02"/>
    <w:rsid w:val="00DA01A1"/>
    <w:rsid w:val="00E02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028"/>
    <w:pPr>
      <w:spacing w:line="260" w:lineRule="auto"/>
      <w:ind w:left="464" w:hanging="464"/>
      <w:jc w:val="both"/>
    </w:pPr>
    <w:rPr>
      <w:rFonts w:ascii="Times New Roman" w:eastAsia="Times New Roman" w:hAnsi="Times New Roman" w:cs="Times New Roman"/>
      <w:color w:val="181717"/>
      <w:sz w:val="20"/>
    </w:rPr>
  </w:style>
  <w:style w:type="paragraph" w:styleId="Nagwek1">
    <w:name w:val="heading 1"/>
    <w:next w:val="Normalny"/>
    <w:link w:val="Nagwek1Znak"/>
    <w:uiPriority w:val="9"/>
    <w:unhideWhenUsed/>
    <w:qFormat/>
    <w:rsid w:val="009B1028"/>
    <w:pPr>
      <w:keepNext/>
      <w:keepLines/>
      <w:spacing w:after="0"/>
      <w:ind w:right="7"/>
      <w:jc w:val="right"/>
      <w:outlineLvl w:val="0"/>
    </w:pPr>
    <w:rPr>
      <w:rFonts w:ascii="Times New Roman" w:eastAsia="Times New Roman" w:hAnsi="Times New Roman" w:cs="Times New Roman"/>
      <w:color w:val="181717"/>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B1028"/>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rsid w:val="009B1028"/>
    <w:pPr>
      <w:spacing w:after="0"/>
      <w:ind w:left="339" w:right="4" w:hanging="339"/>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sid w:val="009B1028"/>
    <w:rPr>
      <w:rFonts w:ascii="Times New Roman" w:eastAsia="Times New Roman" w:hAnsi="Times New Roman" w:cs="Times New Roman"/>
      <w:color w:val="181717"/>
      <w:sz w:val="18"/>
    </w:rPr>
  </w:style>
  <w:style w:type="character" w:customStyle="1" w:styleId="footnotemark">
    <w:name w:val="footnote mark"/>
    <w:hidden/>
    <w:rsid w:val="009B1028"/>
    <w:rPr>
      <w:rFonts w:ascii="Times New Roman" w:eastAsia="Times New Roman" w:hAnsi="Times New Roman" w:cs="Times New Roman"/>
      <w:color w:val="181717"/>
      <w:sz w:val="18"/>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3189</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sdJanuszMarkiewicz</dc:creator>
  <cp:keywords/>
  <cp:lastModifiedBy>Małgorzata</cp:lastModifiedBy>
  <cp:revision>2</cp:revision>
  <cp:lastPrinted>2014-06-18T08:25:00Z</cp:lastPrinted>
  <dcterms:created xsi:type="dcterms:W3CDTF">2014-07-03T05:11:00Z</dcterms:created>
  <dcterms:modified xsi:type="dcterms:W3CDTF">2014-07-03T05:11:00Z</dcterms:modified>
</cp:coreProperties>
</file>