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4DA" w:rsidRDefault="00B76F44" w:rsidP="00500061">
      <w:pPr>
        <w:spacing w:after="540" w:line="233" w:lineRule="auto"/>
        <w:ind w:left="6237"/>
        <w:jc w:val="left"/>
      </w:pPr>
      <w:bookmarkStart w:id="0" w:name="_GoBack"/>
      <w:bookmarkEnd w:id="0"/>
      <w:r>
        <w:rPr>
          <w:sz w:val="16"/>
        </w:rPr>
        <w:t>Załącznik do rozporządzenia Ministra Sprawiedliwości z dnia 27 maja 2014 r. (poz. 737)</w:t>
      </w:r>
    </w:p>
    <w:p w:rsidR="001074DA" w:rsidRDefault="001074DA" w:rsidP="00D75332">
      <w:pPr>
        <w:spacing w:after="230"/>
        <w:ind w:left="0" w:right="6" w:firstLine="0"/>
      </w:pPr>
    </w:p>
    <w:p w:rsidR="001074DA" w:rsidRDefault="00B76F44" w:rsidP="00BC77D1">
      <w:pPr>
        <w:spacing w:after="217"/>
        <w:ind w:left="0" w:right="7" w:firstLine="0"/>
        <w:jc w:val="center"/>
      </w:pPr>
      <w:r>
        <w:t>POUCZENIE O UPRAWNIENIACH ZATRZYMANEGO</w:t>
      </w:r>
      <w:r w:rsidR="00BC77D1">
        <w:br/>
      </w:r>
      <w:r>
        <w:t xml:space="preserve"> W POSTĘPOWANIU KARNYM</w:t>
      </w:r>
    </w:p>
    <w:p w:rsidR="001074DA" w:rsidRDefault="00B76F44">
      <w:pPr>
        <w:ind w:left="330"/>
      </w:pPr>
      <w:r>
        <w:t>Zatrzymanemu w postępowaniu karnym przysługują wymienione poniżej uprawnienia:</w:t>
      </w:r>
    </w:p>
    <w:p w:rsidR="001074DA" w:rsidRDefault="00B76F44">
      <w:pPr>
        <w:numPr>
          <w:ilvl w:val="0"/>
          <w:numId w:val="1"/>
        </w:numPr>
        <w:ind w:hanging="454"/>
      </w:pPr>
      <w:r>
        <w:t>Prawo do informacji o przyczynie zatrzymania i do bycia wysłuchanym (art. 244 § 2)</w:t>
      </w:r>
      <w:r>
        <w:rPr>
          <w:vertAlign w:val="superscript"/>
        </w:rPr>
        <w:footnoteReference w:id="2"/>
      </w:r>
      <w:r>
        <w:rPr>
          <w:vertAlign w:val="superscript"/>
        </w:rPr>
        <w:t>)</w:t>
      </w:r>
      <w:r>
        <w:t>.</w:t>
      </w:r>
    </w:p>
    <w:p w:rsidR="001074DA" w:rsidRDefault="00B76F44">
      <w:pPr>
        <w:numPr>
          <w:ilvl w:val="0"/>
          <w:numId w:val="1"/>
        </w:numPr>
        <w:ind w:hanging="454"/>
      </w:pPr>
      <w:r>
        <w:t>Prawo do złożenia lub odmowy złożenia oświadczenia w swojej sprawie (art. 244 § 3).</w:t>
      </w:r>
    </w:p>
    <w:p w:rsidR="001074DA" w:rsidRDefault="00B76F44">
      <w:pPr>
        <w:numPr>
          <w:ilvl w:val="0"/>
          <w:numId w:val="1"/>
        </w:numPr>
        <w:ind w:hanging="454"/>
      </w:pPr>
      <w:r>
        <w:t>Prawo do niezwłocznego kontaktu z adwokatem i bezpośredniej z nim rozmowy (art. 245 § 1).</w:t>
      </w:r>
    </w:p>
    <w:p w:rsidR="001074DA" w:rsidRDefault="00B76F44" w:rsidP="00EF0476">
      <w:pPr>
        <w:numPr>
          <w:ilvl w:val="0"/>
          <w:numId w:val="1"/>
        </w:numPr>
        <w:spacing w:after="0"/>
        <w:ind w:left="464" w:hanging="454"/>
      </w:pPr>
      <w:r>
        <w:t xml:space="preserve">Jeżeli zatrzymany nie zna wystarczająco języka polskiego – prawo do korzystania z bezpłatnej pomocy tłumacza </w:t>
      </w:r>
      <w:r w:rsidR="00500061">
        <w:br/>
      </w:r>
      <w:r>
        <w:t>(art. 72 § 1).</w:t>
      </w:r>
    </w:p>
    <w:p w:rsidR="00BC77D1" w:rsidRDefault="00BC77D1" w:rsidP="00BC77D1">
      <w:pPr>
        <w:spacing w:after="0"/>
        <w:ind w:left="464" w:firstLine="0"/>
      </w:pPr>
    </w:p>
    <w:p w:rsidR="001074DA" w:rsidRDefault="00B76F44">
      <w:pPr>
        <w:numPr>
          <w:ilvl w:val="0"/>
          <w:numId w:val="1"/>
        </w:numPr>
        <w:ind w:hanging="454"/>
      </w:pPr>
      <w:r>
        <w:t>Prawo do otrzymania odpisu protokołu zatrzymania (art. 244 § 3).</w:t>
      </w:r>
    </w:p>
    <w:p w:rsidR="001074DA" w:rsidRDefault="00B76F44">
      <w:pPr>
        <w:numPr>
          <w:ilvl w:val="0"/>
          <w:numId w:val="1"/>
        </w:numPr>
        <w:spacing w:after="161"/>
        <w:ind w:hanging="454"/>
      </w:pPr>
      <w:r>
        <w:t xml:space="preserve">Prawo do zawiadomienia osoby najbliższej, jak również pracodawcy, szkoły, uczelni, dowódcy oraz osoby zarządzającej przedsiębiorstwem zatrzymanego albo przedsiębiorstwem, za które jest on odpowiedzialny, </w:t>
      </w:r>
      <w:r w:rsidR="00500061">
        <w:br/>
      </w:r>
      <w:r>
        <w:t>o zatrzymaniu (art. 245 § 2, art. 261 § 1 i 3).</w:t>
      </w:r>
    </w:p>
    <w:p w:rsidR="001074DA" w:rsidRDefault="00B76F44">
      <w:pPr>
        <w:numPr>
          <w:ilvl w:val="0"/>
          <w:numId w:val="1"/>
        </w:numPr>
        <w:spacing w:after="210"/>
        <w:ind w:hanging="454"/>
      </w:pPr>
      <w:r>
        <w:t xml:space="preserve">Jeżeli zatrzymany nie jest obywatelem polskim – prawo do kontaktu z urzędem konsularnym lub </w:t>
      </w:r>
      <w:r w:rsidR="00500061">
        <w:br/>
      </w:r>
      <w:r>
        <w:t>z przedstawicielstwem dyplomatycznym państwa, którego jest obywatelem. Jeżeli nie posiada żadnego obywatelstwa – prawo do kontaktu z przedstawicielem państwa, w którym zatrzymany mieszka na stałe (art</w:t>
      </w:r>
      <w:r w:rsidR="00BC77D1">
        <w:t>. 612 § 2). Jeżeli</w:t>
      </w:r>
      <w:r>
        <w:t xml:space="preserve"> przewiduje to umowa konsularna między Polską a państwem, którego zatrzymany jest obywatelem, właściwy urząd konsularny lub przedstawicielstwo dyplomatyczne zostaną poinformowane o zatrzymaniu również bez jego prośby</w:t>
      </w:r>
      <w:r>
        <w:rPr>
          <w:vertAlign w:val="superscript"/>
        </w:rPr>
        <w:footnoteReference w:id="3"/>
      </w:r>
      <w:r>
        <w:rPr>
          <w:vertAlign w:val="superscript"/>
        </w:rPr>
        <w:t>)</w:t>
      </w:r>
      <w:r>
        <w:t>.</w:t>
      </w:r>
    </w:p>
    <w:p w:rsidR="001074DA" w:rsidRDefault="00B76F44">
      <w:pPr>
        <w:numPr>
          <w:ilvl w:val="0"/>
          <w:numId w:val="1"/>
        </w:numPr>
        <w:spacing w:after="160"/>
        <w:ind w:hanging="454"/>
      </w:pPr>
      <w:r>
        <w:t>Prawo do wniesienia do sądu zażalenia na zatrzymanie w terminie 7 dni od dnia zatrzymania. W zażaleniu można się domagać zbadania zasadności, legalności oraz prawidłowości zatrzymania (art. 246 § 1).</w:t>
      </w:r>
    </w:p>
    <w:p w:rsidR="001074DA" w:rsidRDefault="00B76F44" w:rsidP="00A85EDE">
      <w:pPr>
        <w:numPr>
          <w:ilvl w:val="0"/>
          <w:numId w:val="1"/>
        </w:numPr>
        <w:ind w:hanging="454"/>
      </w:pPr>
      <w:r>
        <w:t xml:space="preserve">Prawo do natychmiastowego zwolnienia, jeżeli przyczyny zatrzymania przestały istnieć, albo po upływie 48 godzin od chwili zatrzymania, o ile zatrzymany nie zostanie w tym czasie przekazany do sądu z wnioskiem o zastosowanie tymczasowego aresztowania. W wypadku przekazania do sądu zatrzymany zostanie zwolniony, jeżeli w ciągu </w:t>
      </w:r>
      <w:r w:rsidR="00A85EDE">
        <w:br/>
      </w:r>
      <w:r>
        <w:t xml:space="preserve">24 godzin od przekazania nie zostanie mu doręczone postanowienie o zastosowaniu tymczasowego aresztowania </w:t>
      </w:r>
      <w:r w:rsidR="00500061">
        <w:br/>
      </w:r>
      <w:r>
        <w:t>(art. 248 § 1 i 2).</w:t>
      </w:r>
    </w:p>
    <w:p w:rsidR="001074DA" w:rsidRDefault="00B76F44">
      <w:pPr>
        <w:numPr>
          <w:ilvl w:val="0"/>
          <w:numId w:val="1"/>
        </w:numPr>
        <w:spacing w:after="500"/>
        <w:ind w:hanging="454"/>
      </w:pPr>
      <w:r>
        <w:t>Dostęp do niezbędnej pomocy medycznej.</w:t>
      </w:r>
    </w:p>
    <w:p w:rsidR="001074DA" w:rsidRDefault="00B76F44">
      <w:pPr>
        <w:tabs>
          <w:tab w:val="right" w:pos="9871"/>
        </w:tabs>
        <w:spacing w:after="260"/>
        <w:ind w:left="-15" w:firstLine="0"/>
        <w:jc w:val="left"/>
      </w:pPr>
      <w:r>
        <w:t xml:space="preserve"> </w:t>
      </w:r>
      <w:r>
        <w:tab/>
        <w:t>Potwierdzam otrzymanie pouczenia:</w:t>
      </w:r>
    </w:p>
    <w:p w:rsidR="001074DA" w:rsidRDefault="00B76F44">
      <w:pPr>
        <w:tabs>
          <w:tab w:val="right" w:pos="9871"/>
        </w:tabs>
        <w:spacing w:after="0"/>
        <w:ind w:left="0" w:firstLine="0"/>
        <w:jc w:val="left"/>
      </w:pPr>
      <w:r>
        <w:t xml:space="preserve"> </w:t>
      </w:r>
      <w:r>
        <w:tab/>
        <w:t>.............................................................</w:t>
      </w:r>
    </w:p>
    <w:p w:rsidR="001074DA" w:rsidRDefault="00B76F44">
      <w:pPr>
        <w:tabs>
          <w:tab w:val="center" w:pos="8300"/>
        </w:tabs>
        <w:spacing w:after="540" w:line="233" w:lineRule="auto"/>
        <w:ind w:left="-15" w:firstLine="0"/>
        <w:jc w:val="left"/>
      </w:pPr>
      <w:r>
        <w:rPr>
          <w:sz w:val="16"/>
        </w:rPr>
        <w:t xml:space="preserve"> </w:t>
      </w:r>
      <w:r>
        <w:rPr>
          <w:sz w:val="16"/>
        </w:rPr>
        <w:tab/>
        <w:t>(data, podpis)</w:t>
      </w:r>
    </w:p>
    <w:sectPr w:rsidR="001074DA" w:rsidSect="00A96D91">
      <w:footnotePr>
        <w:numRestart w:val="eachPage"/>
      </w:footnotePr>
      <w:pgSz w:w="11906" w:h="16838"/>
      <w:pgMar w:top="633" w:right="1014" w:bottom="953" w:left="102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92C" w:rsidRDefault="002B292C">
      <w:pPr>
        <w:spacing w:after="0" w:line="240" w:lineRule="auto"/>
      </w:pPr>
      <w:r>
        <w:separator/>
      </w:r>
    </w:p>
  </w:endnote>
  <w:endnote w:type="continuationSeparator" w:id="1">
    <w:p w:rsidR="002B292C" w:rsidRDefault="002B29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libri Light">
    <w:altName w:val="Segoe UI"/>
    <w:charset w:val="EE"/>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92C" w:rsidRDefault="002B292C">
      <w:pPr>
        <w:spacing w:after="0" w:line="265" w:lineRule="auto"/>
        <w:ind w:left="340" w:hanging="340"/>
      </w:pPr>
      <w:r>
        <w:separator/>
      </w:r>
    </w:p>
  </w:footnote>
  <w:footnote w:type="continuationSeparator" w:id="1">
    <w:p w:rsidR="002B292C" w:rsidRDefault="002B292C">
      <w:pPr>
        <w:spacing w:after="0" w:line="265" w:lineRule="auto"/>
        <w:ind w:left="340" w:hanging="340"/>
      </w:pPr>
      <w:r>
        <w:continuationSeparator/>
      </w:r>
    </w:p>
  </w:footnote>
  <w:footnote w:id="2">
    <w:p w:rsidR="001074DA" w:rsidRDefault="00B76F44" w:rsidP="00500061">
      <w:pPr>
        <w:pStyle w:val="footnotedescription"/>
        <w:spacing w:line="265" w:lineRule="auto"/>
        <w:ind w:left="142" w:right="0" w:hanging="142"/>
      </w:pPr>
      <w:r>
        <w:rPr>
          <w:rStyle w:val="footnotemark"/>
        </w:rPr>
        <w:footnoteRef/>
      </w:r>
      <w:r>
        <w:rPr>
          <w:vertAlign w:val="superscript"/>
        </w:rPr>
        <w:t>)</w:t>
      </w:r>
      <w:r>
        <w:t xml:space="preserve"> Jeżeli nie wskazano innej podstawy prawnej, przepisy w nawiasach oznaczają odpowiednie artykuły ustawy z dnia 6 czerwca 1997 r. </w:t>
      </w:r>
      <w:r w:rsidR="00500061">
        <w:br/>
      </w:r>
      <w:r>
        <w:t>– Kodeks postępowania karnego (Dz. U. Nr 89, poz. 555, z późn. zm.).</w:t>
      </w:r>
    </w:p>
  </w:footnote>
  <w:footnote w:id="3">
    <w:p w:rsidR="001074DA" w:rsidRDefault="00B76F44" w:rsidP="00500061">
      <w:pPr>
        <w:pStyle w:val="footnotedescription"/>
        <w:ind w:left="142" w:right="6" w:hanging="142"/>
      </w:pPr>
      <w:r>
        <w:rPr>
          <w:rStyle w:val="footnotemark"/>
        </w:rPr>
        <w:footnoteRef/>
      </w:r>
      <w:r>
        <w:rPr>
          <w:vertAlign w:val="superscript"/>
        </w:rPr>
        <w:t>)</w:t>
      </w:r>
      <w:r>
        <w:t xml:space="preserve"> Dotyczy obywateli Afganistanu, Algierii, Australii, Austrii, Belgii, Białorusi, Bośni i Hercegowiny, Bułgarii, Chińskiej Republiki Ludowej, Chorwacji, Cypru, Czech, Czarnogóry, Estonii, Finlandii, Francji, Grecji, Kambodży, Kanady, Kazachstanu, Kirgistanu, Korei Północnej, Kuby, Laosu, Litwy, Łotwy, Macedonii, Meksyku, Mołdawii, Mongolii, Nowej Zelandii, Rosji, Rumunii, Serbii, Słowacji, Słowenii, Stanów Zjednoczonych, Syrii, Tunezji, Turcji, Ukrainy, Uzbekistanu, Węgier, Wielkiej Brytanii i Wietnamu.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91019"/>
    <w:multiLevelType w:val="hybridMultilevel"/>
    <w:tmpl w:val="862CAA3E"/>
    <w:lvl w:ilvl="0" w:tplc="88EC6D12">
      <w:start w:val="1"/>
      <w:numFmt w:val="decimal"/>
      <w:lvlText w:val="%1."/>
      <w:lvlJc w:val="left"/>
      <w:pPr>
        <w:ind w:left="45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E61C4E9E">
      <w:start w:val="1"/>
      <w:numFmt w:val="lowerLetter"/>
      <w:lvlText w:val="%2"/>
      <w:lvlJc w:val="left"/>
      <w:pPr>
        <w:ind w:left="1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78D866C0">
      <w:start w:val="1"/>
      <w:numFmt w:val="lowerRoman"/>
      <w:lvlText w:val="%3"/>
      <w:lvlJc w:val="left"/>
      <w:pPr>
        <w:ind w:left="18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518028FA">
      <w:start w:val="1"/>
      <w:numFmt w:val="decimal"/>
      <w:lvlText w:val="%4"/>
      <w:lvlJc w:val="left"/>
      <w:pPr>
        <w:ind w:left="25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4B7E9FA2">
      <w:start w:val="1"/>
      <w:numFmt w:val="lowerLetter"/>
      <w:lvlText w:val="%5"/>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9278706A">
      <w:start w:val="1"/>
      <w:numFmt w:val="lowerRoman"/>
      <w:lvlText w:val="%6"/>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FF68CDE8">
      <w:start w:val="1"/>
      <w:numFmt w:val="decimal"/>
      <w:lvlText w:val="%7"/>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DA7C7ACE">
      <w:start w:val="1"/>
      <w:numFmt w:val="lowerLetter"/>
      <w:lvlText w:val="%8"/>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CCA6A8AC">
      <w:start w:val="1"/>
      <w:numFmt w:val="lowerRoman"/>
      <w:lvlText w:val="%9"/>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numRestart w:val="eachPage"/>
    <w:footnote w:id="0"/>
    <w:footnote w:id="1"/>
  </w:footnotePr>
  <w:endnotePr>
    <w:endnote w:id="0"/>
    <w:endnote w:id="1"/>
  </w:endnotePr>
  <w:compat>
    <w:useFELayout/>
  </w:compat>
  <w:rsids>
    <w:rsidRoot w:val="001074DA"/>
    <w:rsid w:val="001074DA"/>
    <w:rsid w:val="0018150E"/>
    <w:rsid w:val="002B292C"/>
    <w:rsid w:val="004307E1"/>
    <w:rsid w:val="00500061"/>
    <w:rsid w:val="0051490D"/>
    <w:rsid w:val="0096743F"/>
    <w:rsid w:val="00A22A1F"/>
    <w:rsid w:val="00A85EDE"/>
    <w:rsid w:val="00A96D91"/>
    <w:rsid w:val="00B76F44"/>
    <w:rsid w:val="00BC77D1"/>
    <w:rsid w:val="00D75332"/>
    <w:rsid w:val="00DF19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6D91"/>
    <w:pPr>
      <w:spacing w:after="187"/>
      <w:ind w:left="10" w:hanging="10"/>
      <w:jc w:val="both"/>
    </w:pPr>
    <w:rPr>
      <w:rFonts w:ascii="Times New Roman" w:eastAsia="Times New Roman" w:hAnsi="Times New Roman" w:cs="Times New Roman"/>
      <w:color w:val="181717"/>
      <w:sz w:val="20"/>
    </w:rPr>
  </w:style>
  <w:style w:type="paragraph" w:styleId="Nagwek1">
    <w:name w:val="heading 1"/>
    <w:next w:val="Normalny"/>
    <w:link w:val="Nagwek1Znak"/>
    <w:uiPriority w:val="9"/>
    <w:unhideWhenUsed/>
    <w:qFormat/>
    <w:rsid w:val="00A96D91"/>
    <w:pPr>
      <w:keepNext/>
      <w:keepLines/>
      <w:spacing w:after="0"/>
      <w:ind w:right="7"/>
      <w:jc w:val="right"/>
      <w:outlineLvl w:val="0"/>
    </w:pPr>
    <w:rPr>
      <w:rFonts w:ascii="Times New Roman" w:eastAsia="Times New Roman" w:hAnsi="Times New Roman" w:cs="Times New Roman"/>
      <w:color w:val="181717"/>
      <w:sz w:val="5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96D91"/>
    <w:rPr>
      <w:rFonts w:ascii="Times New Roman" w:eastAsia="Times New Roman" w:hAnsi="Times New Roman" w:cs="Times New Roman"/>
      <w:color w:val="181717"/>
      <w:sz w:val="56"/>
    </w:rPr>
  </w:style>
  <w:style w:type="paragraph" w:customStyle="1" w:styleId="footnotedescription">
    <w:name w:val="footnote description"/>
    <w:next w:val="Normalny"/>
    <w:link w:val="footnotedescriptionChar"/>
    <w:hidden/>
    <w:rsid w:val="00A96D91"/>
    <w:pPr>
      <w:spacing w:after="0" w:line="261" w:lineRule="auto"/>
      <w:ind w:left="340" w:right="5" w:hanging="340"/>
      <w:jc w:val="both"/>
    </w:pPr>
    <w:rPr>
      <w:rFonts w:ascii="Times New Roman" w:eastAsia="Times New Roman" w:hAnsi="Times New Roman" w:cs="Times New Roman"/>
      <w:color w:val="181717"/>
      <w:sz w:val="18"/>
    </w:rPr>
  </w:style>
  <w:style w:type="character" w:customStyle="1" w:styleId="footnotedescriptionChar">
    <w:name w:val="footnote description Char"/>
    <w:link w:val="footnotedescription"/>
    <w:rsid w:val="00A96D91"/>
    <w:rPr>
      <w:rFonts w:ascii="Times New Roman" w:eastAsia="Times New Roman" w:hAnsi="Times New Roman" w:cs="Times New Roman"/>
      <w:color w:val="181717"/>
      <w:sz w:val="18"/>
    </w:rPr>
  </w:style>
  <w:style w:type="character" w:customStyle="1" w:styleId="footnotemark">
    <w:name w:val="footnote mark"/>
    <w:hidden/>
    <w:rsid w:val="00A96D91"/>
    <w:rPr>
      <w:rFonts w:ascii="Times New Roman" w:eastAsia="Times New Roman" w:hAnsi="Times New Roman" w:cs="Times New Roman"/>
      <w:color w:val="181717"/>
      <w:sz w:val="18"/>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1950</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sdJanuszMarkiewicz</dc:creator>
  <cp:keywords/>
  <cp:lastModifiedBy>Małgorzata</cp:lastModifiedBy>
  <cp:revision>2</cp:revision>
  <cp:lastPrinted>2014-06-18T09:38:00Z</cp:lastPrinted>
  <dcterms:created xsi:type="dcterms:W3CDTF">2014-07-03T05:14:00Z</dcterms:created>
  <dcterms:modified xsi:type="dcterms:W3CDTF">2014-07-03T05:14:00Z</dcterms:modified>
</cp:coreProperties>
</file>